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A5CB" w14:textId="77777777" w:rsidR="00F365E2" w:rsidRDefault="00ED73E3">
      <w:pPr>
        <w:pStyle w:val="Default"/>
      </w:pPr>
      <w:bookmarkStart w:id="0" w:name="_GoBack"/>
      <w:bookmarkEnd w:id="0"/>
      <w:r>
        <w:rPr>
          <w:noProof/>
        </w:rPr>
        <mc:AlternateContent>
          <mc:Choice Requires="wps">
            <w:drawing>
              <wp:anchor distT="0" distB="0" distL="114300" distR="114300" simplePos="0" relativeHeight="251659264" behindDoc="0" locked="0" layoutInCell="1" allowOverlap="1" wp14:anchorId="54B29C12" wp14:editId="631A39BA">
                <wp:simplePos x="0" y="0"/>
                <wp:positionH relativeFrom="column">
                  <wp:posOffset>4164963</wp:posOffset>
                </wp:positionH>
                <wp:positionV relativeFrom="paragraph">
                  <wp:posOffset>-320</wp:posOffset>
                </wp:positionV>
                <wp:extent cx="2360295" cy="1403988"/>
                <wp:effectExtent l="0" t="0" r="20955" b="24762"/>
                <wp:wrapSquare wrapText="bothSides"/>
                <wp:docPr id="1" name="Text Box 2"/>
                <wp:cNvGraphicFramePr/>
                <a:graphic xmlns:a="http://schemas.openxmlformats.org/drawingml/2006/main">
                  <a:graphicData uri="http://schemas.microsoft.com/office/word/2010/wordprocessingShape">
                    <wps:wsp>
                      <wps:cNvSpPr txBox="1"/>
                      <wps:spPr>
                        <a:xfrm>
                          <a:off x="0" y="0"/>
                          <a:ext cx="2360295" cy="1403988"/>
                        </a:xfrm>
                        <a:prstGeom prst="rect">
                          <a:avLst/>
                        </a:prstGeom>
                        <a:solidFill>
                          <a:srgbClr val="FFFFFF"/>
                        </a:solidFill>
                        <a:ln w="9528">
                          <a:solidFill>
                            <a:srgbClr val="000000"/>
                          </a:solidFill>
                          <a:prstDash val="solid"/>
                        </a:ln>
                      </wps:spPr>
                      <wps:txbx>
                        <w:txbxContent>
                          <w:p w14:paraId="03F46B1C" w14:textId="77777777" w:rsidR="00F365E2" w:rsidRDefault="00ED73E3">
                            <w:pPr>
                              <w:rPr>
                                <w:color w:val="7030A0"/>
                              </w:rPr>
                            </w:pPr>
                            <w:r>
                              <w:rPr>
                                <w:color w:val="7030A0"/>
                              </w:rPr>
                              <w:t>Jubilee Academy Mossley</w:t>
                            </w:r>
                          </w:p>
                          <w:p w14:paraId="52BDC792" w14:textId="77777777" w:rsidR="00F365E2" w:rsidRDefault="00ED73E3">
                            <w:pPr>
                              <w:rPr>
                                <w:color w:val="7030A0"/>
                              </w:rPr>
                            </w:pPr>
                            <w:r>
                              <w:rPr>
                                <w:color w:val="7030A0"/>
                              </w:rPr>
                              <w:t>Tintern Crescent</w:t>
                            </w:r>
                          </w:p>
                          <w:p w14:paraId="559E00EF" w14:textId="77777777" w:rsidR="00F365E2" w:rsidRDefault="00ED73E3">
                            <w:pPr>
                              <w:rPr>
                                <w:color w:val="7030A0"/>
                              </w:rPr>
                            </w:pPr>
                            <w:r>
                              <w:rPr>
                                <w:color w:val="7030A0"/>
                              </w:rPr>
                              <w:t>Mossley Estate</w:t>
                            </w:r>
                          </w:p>
                          <w:p w14:paraId="2996A2F3" w14:textId="77777777" w:rsidR="00F365E2" w:rsidRDefault="00ED73E3">
                            <w:pPr>
                              <w:rPr>
                                <w:color w:val="7030A0"/>
                              </w:rPr>
                            </w:pPr>
                            <w:r>
                              <w:rPr>
                                <w:color w:val="7030A0"/>
                              </w:rPr>
                              <w:t>Bloxwich</w:t>
                            </w:r>
                          </w:p>
                          <w:p w14:paraId="12F5FAC1" w14:textId="77777777" w:rsidR="00F365E2" w:rsidRDefault="00ED73E3">
                            <w:pPr>
                              <w:rPr>
                                <w:color w:val="7030A0"/>
                              </w:rPr>
                            </w:pPr>
                            <w:r>
                              <w:rPr>
                                <w:color w:val="7030A0"/>
                              </w:rPr>
                              <w:t>Walsall</w:t>
                            </w:r>
                          </w:p>
                          <w:p w14:paraId="01A1739E" w14:textId="77777777" w:rsidR="00F365E2" w:rsidRDefault="00ED73E3">
                            <w:pPr>
                              <w:rPr>
                                <w:color w:val="7030A0"/>
                              </w:rPr>
                            </w:pPr>
                            <w:r>
                              <w:rPr>
                                <w:color w:val="7030A0"/>
                              </w:rPr>
                              <w:t>WS3 2SQ</w:t>
                            </w:r>
                          </w:p>
                          <w:p w14:paraId="29DD1C0A" w14:textId="77777777" w:rsidR="00F365E2" w:rsidRDefault="00ED73E3">
                            <w:hyperlink r:id="rId7" w:history="1">
                              <w:r>
                                <w:t>postobx@jubileeacademy.co.uk</w:t>
                              </w:r>
                            </w:hyperlink>
                          </w:p>
                          <w:p w14:paraId="2289627C" w14:textId="77777777" w:rsidR="00F365E2" w:rsidRDefault="00ED73E3">
                            <w:pPr>
                              <w:rPr>
                                <w:color w:val="7030A0"/>
                              </w:rPr>
                            </w:pPr>
                            <w:r>
                              <w:rPr>
                                <w:color w:val="7030A0"/>
                              </w:rPr>
                              <w:t xml:space="preserve">Principal: Mr </w:t>
                            </w:r>
                            <w:r>
                              <w:rPr>
                                <w:color w:val="7030A0"/>
                              </w:rPr>
                              <w:t>David Brownsword</w:t>
                            </w:r>
                          </w:p>
                        </w:txbxContent>
                      </wps:txbx>
                      <wps:bodyPr vert="horz" wrap="square" lIns="91440" tIns="45720" rIns="91440" bIns="45720" anchor="t" anchorCtr="0" compatLnSpc="0">
                        <a:spAutoFit/>
                      </wps:bodyPr>
                    </wps:wsp>
                  </a:graphicData>
                </a:graphic>
              </wp:anchor>
            </w:drawing>
          </mc:Choice>
          <mc:Fallback>
            <w:pict>
              <v:shapetype w14:anchorId="54B29C12" id="_x0000_t202" coordsize="21600,21600" o:spt="202" path="m,l,21600r21600,l21600,xe">
                <v:stroke joinstyle="miter"/>
                <v:path gradientshapeok="t" o:connecttype="rect"/>
              </v:shapetype>
              <v:shape id="Text Box 2" o:spid="_x0000_s1026" type="#_x0000_t202" style="position:absolute;margin-left:327.95pt;margin-top:-.05pt;width:185.85pt;height:11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" strokeweight=".26467mm">
                <v:textbox style="mso-fit-shape-to-text:t">
                  <w:txbxContent>
                    <w:p w14:paraId="03F46B1C" w14:textId="77777777" w:rsidR="00F365E2" w:rsidRDefault="00ED73E3">
                      <w:pPr>
                        <w:rPr>
                          <w:color w:val="7030A0"/>
                        </w:rPr>
                      </w:pPr>
                      <w:r>
                        <w:rPr>
                          <w:color w:val="7030A0"/>
                        </w:rPr>
                        <w:t>Jubilee Academy Mossley</w:t>
                      </w:r>
                    </w:p>
                    <w:p w14:paraId="52BDC792" w14:textId="77777777" w:rsidR="00F365E2" w:rsidRDefault="00ED73E3">
                      <w:pPr>
                        <w:rPr>
                          <w:color w:val="7030A0"/>
                        </w:rPr>
                      </w:pPr>
                      <w:r>
                        <w:rPr>
                          <w:color w:val="7030A0"/>
                        </w:rPr>
                        <w:t>Tintern Crescent</w:t>
                      </w:r>
                    </w:p>
                    <w:p w14:paraId="559E00EF" w14:textId="77777777" w:rsidR="00F365E2" w:rsidRDefault="00ED73E3">
                      <w:pPr>
                        <w:rPr>
                          <w:color w:val="7030A0"/>
                        </w:rPr>
                      </w:pPr>
                      <w:r>
                        <w:rPr>
                          <w:color w:val="7030A0"/>
                        </w:rPr>
                        <w:t>Mossley Estate</w:t>
                      </w:r>
                    </w:p>
                    <w:p w14:paraId="2996A2F3" w14:textId="77777777" w:rsidR="00F365E2" w:rsidRDefault="00ED73E3">
                      <w:pPr>
                        <w:rPr>
                          <w:color w:val="7030A0"/>
                        </w:rPr>
                      </w:pPr>
                      <w:r>
                        <w:rPr>
                          <w:color w:val="7030A0"/>
                        </w:rPr>
                        <w:t>Bloxwich</w:t>
                      </w:r>
                    </w:p>
                    <w:p w14:paraId="12F5FAC1" w14:textId="77777777" w:rsidR="00F365E2" w:rsidRDefault="00ED73E3">
                      <w:pPr>
                        <w:rPr>
                          <w:color w:val="7030A0"/>
                        </w:rPr>
                      </w:pPr>
                      <w:r>
                        <w:rPr>
                          <w:color w:val="7030A0"/>
                        </w:rPr>
                        <w:t>Walsall</w:t>
                      </w:r>
                    </w:p>
                    <w:p w14:paraId="01A1739E" w14:textId="77777777" w:rsidR="00F365E2" w:rsidRDefault="00ED73E3">
                      <w:pPr>
                        <w:rPr>
                          <w:color w:val="7030A0"/>
                        </w:rPr>
                      </w:pPr>
                      <w:r>
                        <w:rPr>
                          <w:color w:val="7030A0"/>
                        </w:rPr>
                        <w:t>WS3 2SQ</w:t>
                      </w:r>
                    </w:p>
                    <w:p w14:paraId="29DD1C0A" w14:textId="77777777" w:rsidR="00F365E2" w:rsidRDefault="00ED73E3">
                      <w:hyperlink r:id="rId8" w:history="1">
                        <w:r>
                          <w:t>postobx@jubileeacademy.co.uk</w:t>
                        </w:r>
                      </w:hyperlink>
                    </w:p>
                    <w:p w14:paraId="2289627C" w14:textId="77777777" w:rsidR="00F365E2" w:rsidRDefault="00ED73E3">
                      <w:pPr>
                        <w:rPr>
                          <w:color w:val="7030A0"/>
                        </w:rPr>
                      </w:pPr>
                      <w:r>
                        <w:rPr>
                          <w:color w:val="7030A0"/>
                        </w:rPr>
                        <w:t xml:space="preserve">Principal: Mr </w:t>
                      </w:r>
                      <w:r>
                        <w:rPr>
                          <w:color w:val="7030A0"/>
                        </w:rPr>
                        <w:t>David Brownsword</w:t>
                      </w:r>
                    </w:p>
                  </w:txbxContent>
                </v:textbox>
                <w10:wrap type="square"/>
              </v:shape>
            </w:pict>
          </mc:Fallback>
        </mc:AlternateContent>
      </w:r>
    </w:p>
    <w:p w14:paraId="50564965" w14:textId="77777777" w:rsidR="00F365E2" w:rsidRDefault="00F365E2">
      <w:pPr>
        <w:pStyle w:val="Default"/>
        <w:rPr>
          <w:sz w:val="23"/>
          <w:szCs w:val="23"/>
        </w:rPr>
      </w:pPr>
    </w:p>
    <w:p w14:paraId="194A80B5" w14:textId="77777777" w:rsidR="00F365E2" w:rsidRDefault="00ED73E3">
      <w:pPr>
        <w:pStyle w:val="Default"/>
      </w:pPr>
      <w:r>
        <w:rPr>
          <w:noProof/>
        </w:rPr>
        <w:drawing>
          <wp:inline distT="0" distB="0" distL="0" distR="0" wp14:anchorId="00257096" wp14:editId="375CE011">
            <wp:extent cx="1071877" cy="1081406"/>
            <wp:effectExtent l="0" t="0" r="0" b="4444"/>
            <wp:docPr id="2" name="Picture 1" descr="C:\Users\J Westwood\AppData\Local\Microsoft\Windows\INetCache\Content.Word\School Logo JA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71877" cy="1081406"/>
                    </a:xfrm>
                    <a:prstGeom prst="rect">
                      <a:avLst/>
                    </a:prstGeom>
                    <a:noFill/>
                    <a:ln>
                      <a:noFill/>
                      <a:prstDash/>
                    </a:ln>
                  </pic:spPr>
                </pic:pic>
              </a:graphicData>
            </a:graphic>
          </wp:inline>
        </w:drawing>
      </w:r>
    </w:p>
    <w:p w14:paraId="5A387180" w14:textId="77777777" w:rsidR="00F365E2" w:rsidRDefault="00F365E2">
      <w:pPr>
        <w:pStyle w:val="Default"/>
        <w:rPr>
          <w:sz w:val="23"/>
          <w:szCs w:val="23"/>
        </w:rPr>
      </w:pPr>
    </w:p>
    <w:p w14:paraId="42671BDC" w14:textId="77777777" w:rsidR="00F365E2" w:rsidRDefault="00F365E2">
      <w:pPr>
        <w:pStyle w:val="Default"/>
        <w:rPr>
          <w:sz w:val="23"/>
          <w:szCs w:val="23"/>
        </w:rPr>
      </w:pPr>
    </w:p>
    <w:p w14:paraId="08A49108" w14:textId="77777777" w:rsidR="00F365E2" w:rsidRDefault="00F365E2">
      <w:pPr>
        <w:pStyle w:val="Default"/>
        <w:rPr>
          <w:sz w:val="23"/>
          <w:szCs w:val="23"/>
        </w:rPr>
      </w:pPr>
    </w:p>
    <w:p w14:paraId="2C5C85AC" w14:textId="77777777" w:rsidR="00F365E2" w:rsidRDefault="00F365E2">
      <w:pPr>
        <w:pStyle w:val="Default"/>
        <w:rPr>
          <w:sz w:val="23"/>
          <w:szCs w:val="23"/>
        </w:rPr>
      </w:pPr>
    </w:p>
    <w:p w14:paraId="7480DFF0" w14:textId="77777777" w:rsidR="00F365E2" w:rsidRDefault="00F365E2">
      <w:pPr>
        <w:pStyle w:val="Default"/>
        <w:rPr>
          <w:sz w:val="23"/>
          <w:szCs w:val="23"/>
        </w:rPr>
      </w:pPr>
    </w:p>
    <w:p w14:paraId="0F1BECD5" w14:textId="77777777" w:rsidR="00F365E2" w:rsidRDefault="00F365E2">
      <w:pPr>
        <w:pStyle w:val="Default"/>
        <w:rPr>
          <w:rFonts w:eastAsia="Times New Roman"/>
        </w:rPr>
      </w:pPr>
    </w:p>
    <w:p w14:paraId="3D59578F" w14:textId="77777777" w:rsidR="00F365E2" w:rsidRDefault="00ED73E3">
      <w:pPr>
        <w:pStyle w:val="Default"/>
        <w:jc w:val="right"/>
        <w:rPr>
          <w:rFonts w:ascii="Calibri" w:eastAsia="Times New Roman" w:hAnsi="Calibri" w:cs="Calibri"/>
          <w:sz w:val="22"/>
          <w:szCs w:val="22"/>
        </w:rPr>
      </w:pPr>
      <w:r>
        <w:rPr>
          <w:rFonts w:ascii="Calibri" w:eastAsia="Times New Roman" w:hAnsi="Calibri" w:cs="Calibri"/>
          <w:sz w:val="22"/>
          <w:szCs w:val="22"/>
        </w:rPr>
        <w:t>March 2018</w:t>
      </w:r>
    </w:p>
    <w:p w14:paraId="2780DAEC" w14:textId="77777777" w:rsidR="00F365E2" w:rsidRDefault="00F365E2">
      <w:pPr>
        <w:pStyle w:val="Default"/>
      </w:pPr>
    </w:p>
    <w:p w14:paraId="155B5EA3" w14:textId="77777777" w:rsidR="00F365E2" w:rsidRDefault="00ED73E3">
      <w:r>
        <w:t xml:space="preserve">Dear Parent / Carer </w:t>
      </w:r>
    </w:p>
    <w:p w14:paraId="6D4A50F4" w14:textId="77777777" w:rsidR="00F365E2" w:rsidRDefault="00ED73E3">
      <w:r>
        <w:t xml:space="preserve"> </w:t>
      </w:r>
    </w:p>
    <w:p w14:paraId="57109441" w14:textId="77777777" w:rsidR="00F365E2" w:rsidRDefault="00ED73E3">
      <w:r>
        <w:t xml:space="preserve">We are committed to supporting the needs of all of our students whatever their background and circumstance as well as ensuring that we meet the needs of parents and carers as far as possible. </w:t>
      </w:r>
      <w:r>
        <w:t>We have a duty under the Equality Act 2010 to advance equality of opportunity, eliminate discrimination and foster good relations for certain groups within the academy community. The Act provides protection to individuals and groups in the following areas:</w:t>
      </w:r>
      <w:r>
        <w:t xml:space="preserve"> disability, race, religion or belief, sex, sexual orientation, gender reassignment, pregnancy and maternity.   We are very proud of the work we have been doing in the academy to ensure that it is a place of genuine equality of opportunity for all. We have</w:t>
      </w:r>
      <w:r>
        <w:t xml:space="preserve"> been commended for all the progress we have made and continue to make and are proud to be a Centre of Excellence for Inclusion and champion school for Stonewall.</w:t>
      </w:r>
    </w:p>
    <w:p w14:paraId="321465F2" w14:textId="77777777" w:rsidR="00F365E2" w:rsidRDefault="00ED73E3">
      <w:r>
        <w:t xml:space="preserve"> </w:t>
      </w:r>
    </w:p>
    <w:p w14:paraId="5397B0B5" w14:textId="77777777" w:rsidR="00F365E2" w:rsidRDefault="00ED73E3">
      <w:r>
        <w:t>The Equality Act 2010 requires us to publish information that demonstrates that we have due</w:t>
      </w:r>
      <w:r>
        <w:t xml:space="preserve"> regard for the need to: </w:t>
      </w:r>
    </w:p>
    <w:p w14:paraId="7D62E7A4" w14:textId="77777777" w:rsidR="00F365E2" w:rsidRDefault="00ED73E3">
      <w:pPr>
        <w:pStyle w:val="ListParagraph"/>
        <w:numPr>
          <w:ilvl w:val="0"/>
          <w:numId w:val="1"/>
        </w:numPr>
      </w:pPr>
      <w:r>
        <w:t xml:space="preserve">Eliminate unlawful discrimination, harassment, victimisation and any other conduct prohibited by the Equality Act 2010 </w:t>
      </w:r>
    </w:p>
    <w:p w14:paraId="565D8141" w14:textId="77777777" w:rsidR="00F365E2" w:rsidRDefault="00ED73E3">
      <w:pPr>
        <w:pStyle w:val="ListParagraph"/>
        <w:numPr>
          <w:ilvl w:val="0"/>
          <w:numId w:val="1"/>
        </w:numPr>
      </w:pPr>
      <w:r>
        <w:t xml:space="preserve">Advance equality of opportunity between people who share a protected characteristic and people who do not </w:t>
      </w:r>
    </w:p>
    <w:p w14:paraId="5C346C0F" w14:textId="77777777" w:rsidR="00F365E2" w:rsidRDefault="00ED73E3">
      <w:pPr>
        <w:pStyle w:val="ListParagraph"/>
        <w:numPr>
          <w:ilvl w:val="0"/>
          <w:numId w:val="1"/>
        </w:numPr>
      </w:pPr>
      <w:r>
        <w:t>Fos</w:t>
      </w:r>
      <w:r>
        <w:t xml:space="preserve">ter good relations between people who share a protected characteristic and people who do not. </w:t>
      </w:r>
    </w:p>
    <w:p w14:paraId="6222664C" w14:textId="77777777" w:rsidR="00F365E2" w:rsidRDefault="00ED73E3">
      <w:r>
        <w:t xml:space="preserve"> </w:t>
      </w:r>
    </w:p>
    <w:p w14:paraId="5CBB4C32" w14:textId="77777777" w:rsidR="00F365E2" w:rsidRDefault="00ED73E3">
      <w:r>
        <w:t>Please take some time to read our Equalities Policy, which sets out our approach to ensuring equality for all and the Equalities Report, which contains informa</w:t>
      </w:r>
      <w:r>
        <w:t xml:space="preserve">tion about who comes to our academy, and how fairly they are represented. This will be updated annually, following the academy census in the Autumn Term.  </w:t>
      </w:r>
    </w:p>
    <w:p w14:paraId="18670B29" w14:textId="77777777" w:rsidR="00F365E2" w:rsidRDefault="00ED73E3">
      <w:r>
        <w:t xml:space="preserve"> </w:t>
      </w:r>
    </w:p>
    <w:p w14:paraId="4423D413" w14:textId="77777777" w:rsidR="00F365E2" w:rsidRDefault="00ED73E3">
      <w:r>
        <w:t>In addition to this, we publish our Equalities Objectives, which ensures that the academy continue</w:t>
      </w:r>
      <w:r>
        <w:t xml:space="preserve">s to be a place of fairness for all.   Yours sincerely  </w:t>
      </w:r>
    </w:p>
    <w:p w14:paraId="2D8BAEE0" w14:textId="77777777" w:rsidR="00F365E2" w:rsidRDefault="00ED73E3">
      <w:r>
        <w:t xml:space="preserve"> D Brownsword</w:t>
      </w:r>
    </w:p>
    <w:p w14:paraId="62C09646" w14:textId="77777777" w:rsidR="00F365E2" w:rsidRDefault="00ED73E3">
      <w:r>
        <w:t>Principal</w:t>
      </w:r>
    </w:p>
    <w:p w14:paraId="1151DF89" w14:textId="77777777" w:rsidR="00F365E2" w:rsidRDefault="00F365E2"/>
    <w:p w14:paraId="0CF95806" w14:textId="77777777" w:rsidR="00F365E2" w:rsidRDefault="00ED73E3">
      <w:r>
        <w:rPr>
          <w:noProof/>
        </w:rPr>
        <w:drawing>
          <wp:inline distT="0" distB="0" distL="0" distR="0" wp14:anchorId="010CC126" wp14:editId="615A8FEA">
            <wp:extent cx="3310219" cy="746790"/>
            <wp:effectExtent l="0" t="0" r="4481" b="0"/>
            <wp:docPr id="3" name="Picture 2" descr="C:\Users\J Westwood\AppData\Local\Microsoft\Windows\INetCache\Content.Word\COE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310219" cy="746790"/>
                    </a:xfrm>
                    <a:prstGeom prst="rect">
                      <a:avLst/>
                    </a:prstGeom>
                    <a:noFill/>
                    <a:ln>
                      <a:noFill/>
                      <a:prstDash/>
                    </a:ln>
                  </pic:spPr>
                </pic:pic>
              </a:graphicData>
            </a:graphic>
          </wp:inline>
        </w:drawing>
      </w:r>
      <w:r>
        <w:rPr>
          <w:noProof/>
        </w:rPr>
        <w:drawing>
          <wp:inline distT="0" distB="0" distL="0" distR="0" wp14:anchorId="6A4FFE4A" wp14:editId="19DB52F9">
            <wp:extent cx="1561246" cy="770820"/>
            <wp:effectExtent l="0" t="0" r="854" b="0"/>
            <wp:docPr id="4" name="Picture 3" descr="C:\Users\J Westwood\AppData\Local\Microsoft\Windows\INetCache\Content.Word\Stonewall-Ed-Champ-Logo-WE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61246" cy="770820"/>
                    </a:xfrm>
                    <a:prstGeom prst="rect">
                      <a:avLst/>
                    </a:prstGeom>
                    <a:noFill/>
                    <a:ln>
                      <a:noFill/>
                      <a:prstDash/>
                    </a:ln>
                  </pic:spPr>
                </pic:pic>
              </a:graphicData>
            </a:graphic>
          </wp:inline>
        </w:drawing>
      </w:r>
    </w:p>
    <w:sectPr w:rsidR="00F365E2">
      <w:pgSz w:w="11906" w:h="173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40201" w14:textId="77777777" w:rsidR="00000000" w:rsidRDefault="00ED73E3">
      <w:pPr>
        <w:spacing w:after="0"/>
      </w:pPr>
      <w:r>
        <w:separator/>
      </w:r>
    </w:p>
  </w:endnote>
  <w:endnote w:type="continuationSeparator" w:id="0">
    <w:p w14:paraId="26646998" w14:textId="77777777" w:rsidR="00000000" w:rsidRDefault="00ED73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AD820" w14:textId="77777777" w:rsidR="00000000" w:rsidRDefault="00ED73E3">
      <w:pPr>
        <w:spacing w:after="0"/>
      </w:pPr>
      <w:r>
        <w:rPr>
          <w:color w:val="000000"/>
        </w:rPr>
        <w:separator/>
      </w:r>
    </w:p>
  </w:footnote>
  <w:footnote w:type="continuationSeparator" w:id="0">
    <w:p w14:paraId="3C12F1A8" w14:textId="77777777" w:rsidR="00000000" w:rsidRDefault="00ED73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65570"/>
    <w:multiLevelType w:val="multilevel"/>
    <w:tmpl w:val="DD28C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365E2"/>
    <w:rsid w:val="00B8023B"/>
    <w:rsid w:val="00ED73E3"/>
    <w:rsid w:val="00F3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C72B54"/>
  <w15:docId w15:val="{891BDE73-554D-46C5-AFF9-F7FA65B2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pPr>
    <w:rPr>
      <w:rFonts w:ascii="Arial" w:hAnsi="Arial" w:cs="Arial"/>
      <w:color w:val="000000"/>
      <w:sz w:val="24"/>
      <w:szCs w:val="24"/>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ostobx@jubileeacadem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obx@jubileeacadem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jwestwood@jubileeacademy.co.uk</dc:creator>
  <dc:description/>
  <cp:lastModifiedBy> </cp:lastModifiedBy>
  <cp:revision>2</cp:revision>
  <cp:lastPrinted>2018-03-05T15:42:00Z</cp:lastPrinted>
  <dcterms:created xsi:type="dcterms:W3CDTF">2018-03-21T09:40:00Z</dcterms:created>
  <dcterms:modified xsi:type="dcterms:W3CDTF">2018-03-21T09:40:00Z</dcterms:modified>
</cp:coreProperties>
</file>